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Calibri" w:cs="Calibri" w:eastAsia="Calibri" w:hAnsi="Calibri"/>
          <w:b/>
          <w:bCs/>
          <w:color w:val="1F3554"/>
          <w:sz w:val="34"/>
          <w:szCs w:val="34"/>
        </w:rPr>
        <w:t xml:space="preserve">PROJECT DIRECTOR'S BRIEF</w:t>
      </w:r>
    </w:p>
    <w:p>
      <w:pPr>
        <w:pBdr>
          <w:bottom w:val="single" w:color="1F3554" w:sz="16"/>
        </w:pBdr>
        <w:spacing w:after="120" w:before="0"/>
      </w:pPr>
      <w:r>
        <w:rPr>
          <w:rFonts w:ascii="Calibri" w:cs="Calibri" w:eastAsia="Calibri" w:hAnsi="Calibri"/>
          <w:color w:val="5A6B7F"/>
          <w:sz w:val="20"/>
          <w:szCs w:val="20"/>
        </w:rPr>
        <w:t xml:space="preserve">{Project name}   ·   {Client}   ·   Period ending {date}   ·   Prepared by {name}</w:t>
      </w:r>
    </w:p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1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POSITION AT A GLANCE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30"/>
        <w:gridCol w:w="2511"/>
        <w:gridCol w:w="2511"/>
        <w:gridCol w:w="2514"/>
      </w:tblGrid>
      <w:tr>
        <w:tc>
          <w:tcPr>
            <w:tcW w:type="dxa" w:w="2930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Overall status</w:t>
            </w:r>
          </w:p>
        </w:tc>
        <w:tc>
          <w:tcPr>
            <w:tcW w:type="dxa" w:w="2511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Cost (CPI)</w:t>
            </w:r>
          </w:p>
        </w:tc>
        <w:tc>
          <w:tcPr>
            <w:tcW w:type="dxa" w:w="2511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Schedule (SPI)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Forecast completion</w:t>
            </w:r>
          </w:p>
        </w:tc>
      </w:tr>
      <w:tr>
        <w:tc>
          <w:tcPr>
            <w:tcW w:type="dxa" w:w="2930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4"/>
                <w:szCs w:val="24"/>
              </w:rPr>
              <w:t xml:space="preserve">{G / A / R}</w:t>
            </w:r>
          </w:p>
        </w:tc>
        <w:tc>
          <w:tcPr>
            <w:tcW w:type="dxa" w:w="2511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4"/>
                <w:szCs w:val="24"/>
              </w:rPr>
              <w:t xml:space="preserve">{0.00}</w:t>
            </w:r>
          </w:p>
        </w:tc>
        <w:tc>
          <w:tcPr>
            <w:tcW w:type="dxa" w:w="2511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24"/>
                <w:szCs w:val="24"/>
              </w:rPr>
              <w:t xml:space="preserve">{0.00}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{date} ({+/– X wks vs contract})</w:t>
            </w:r>
          </w:p>
        </w:tc>
      </w:tr>
    </w:tbl>
    <w:p>
      <w:pPr>
        <w:spacing w:after="60" w:before="8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Headline: </w:t>
      </w:r>
      <w:r>
        <w:rPr>
          <w:rFonts w:ascii="Calibri" w:cs="Calibri" w:eastAsia="Calibri" w:hAnsi="Calibri"/>
          <w:b w:val="false"/>
          <w:bCs w:val="false"/>
          <w:i/>
          <w:iCs/>
          <w:color w:val="5A6B7F"/>
          <w:sz w:val="19"/>
          <w:szCs w:val="19"/>
        </w:rPr>
        <w:t xml:space="preserve">{One sentence. The single thing the director must know this period.}</w:t>
      </w:r>
    </w:p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2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FINANCIAL POSITION (EARNED VALUE)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93"/>
        <w:gridCol w:w="2093"/>
        <w:gridCol w:w="2093"/>
        <w:gridCol w:w="2093"/>
        <w:gridCol w:w="2094"/>
      </w:tblGrid>
      <w:tr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Budget (BAC)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Earned (EV)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Actual (AC)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Estimate at completion</w:t>
            </w:r>
          </w:p>
        </w:tc>
        <w:tc>
          <w:tcPr>
            <w:tcW w:type="dxa" w:w="209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Variance at completion</w:t>
            </w:r>
          </w:p>
        </w:tc>
      </w:tr>
      <w:tr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{$}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{$}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{$}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19"/>
                <w:szCs w:val="19"/>
              </w:rPr>
              <w:t xml:space="preserve">{$}</w:t>
            </w:r>
          </w:p>
        </w:tc>
        <w:tc>
          <w:tcPr>
            <w:tcW w:type="dxa" w:w="209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333333"/>
                <w:sz w:val="19"/>
                <w:szCs w:val="19"/>
              </w:rPr>
              <w:t xml:space="preserve">{$ +/–}</w:t>
            </w:r>
          </w:p>
        </w:tc>
      </w:tr>
    </w:tbl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30" w:before="3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5A6B7F"/>
                <w:sz w:val="18"/>
                <w:szCs w:val="18"/>
              </w:rPr>
              <w:t xml:space="preserve">Commentary: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5A6B7F"/>
                <w:sz w:val="18"/>
                <w:szCs w:val="18"/>
              </w:rPr>
              <w:t xml:space="preserve">{Two lines max: why the variance exists and what is being done about it.}</w:t>
            </w:r>
          </w:p>
        </w:tc>
      </w:tr>
    </w:tbl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3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SCHEDULE &amp; CRITICAL PATH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58"/>
        <w:gridCol w:w="3453"/>
        <w:gridCol w:w="3455"/>
      </w:tblGrid>
      <w:tr>
        <w:tc>
          <w:tcPr>
            <w:tcW w:type="dxa" w:w="3558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Contract completion</w:t>
            </w:r>
          </w:p>
        </w:tc>
        <w:tc>
          <w:tcPr>
            <w:tcW w:type="dxa" w:w="345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Forecast completion (P50 / P80)</w:t>
            </w:r>
          </w:p>
        </w:tc>
        <w:tc>
          <w:tcPr>
            <w:tcW w:type="dxa" w:w="34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Total float remaining</w:t>
            </w:r>
          </w:p>
        </w:tc>
      </w:tr>
      <w:tr>
        <w:tc>
          <w:tcPr>
            <w:tcW w:type="dxa" w:w="3558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{date}</w:t>
            </w:r>
          </w:p>
        </w:tc>
        <w:tc>
          <w:tcPr>
            <w:tcW w:type="dxa" w:w="345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{date} / {date}</w:t>
            </w:r>
          </w:p>
        </w:tc>
        <w:tc>
          <w:tcPr>
            <w:tcW w:type="dxa" w:w="34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{X days}</w:t>
            </w:r>
          </w:p>
        </w:tc>
      </w:tr>
    </w:tbl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EEF2F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30" w:before="3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5A6B7F"/>
                <w:sz w:val="18"/>
                <w:szCs w:val="18"/>
              </w:rPr>
              <w:t xml:space="preserve">Commentary: 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5A6B7F"/>
                <w:sz w:val="18"/>
                <w:szCs w:val="18"/>
              </w:rPr>
              <w:t xml:space="preserve">{Critical path this period: what drives completion now, and whether it moved since last period.}</w:t>
            </w:r>
          </w:p>
        </w:tc>
      </w:tr>
    </w:tbl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4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TOP RISKS &amp; EARLY WARNINGS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37"/>
        <w:gridCol w:w="4395"/>
        <w:gridCol w:w="1255"/>
        <w:gridCol w:w="1465"/>
        <w:gridCol w:w="2514"/>
      </w:tblGrid>
      <w:tr>
        <w:tc>
          <w:tcPr>
            <w:tcW w:type="dxa" w:w="837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Ref</w:t>
            </w:r>
          </w:p>
        </w:tc>
        <w:tc>
          <w:tcPr>
            <w:tcW w:type="dxa" w:w="439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Risk / early warning</w:t>
            </w:r>
          </w:p>
        </w:tc>
        <w:tc>
          <w:tcPr>
            <w:tcW w:type="dxa" w:w="12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Trend</w:t>
            </w:r>
          </w:p>
        </w:tc>
        <w:tc>
          <w:tcPr>
            <w:tcW w:type="dxa" w:w="146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Owner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Action this period</w:t>
            </w:r>
          </w:p>
        </w:tc>
      </w:tr>
      <w:tr>
        <w:tc>
          <w:tcPr>
            <w:tcW w:type="dxa" w:w="837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{R1}</w:t>
            </w:r>
          </w:p>
        </w:tc>
        <w:tc>
          <w:tcPr>
            <w:tcW w:type="dxa" w:w="439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2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{↑ → ↓}</w:t>
            </w:r>
          </w:p>
        </w:tc>
        <w:tc>
          <w:tcPr>
            <w:tcW w:type="dxa" w:w="146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  <w:tr>
        <w:tc>
          <w:tcPr>
            <w:tcW w:type="dxa" w:w="837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{R2}</w:t>
            </w:r>
          </w:p>
        </w:tc>
        <w:tc>
          <w:tcPr>
            <w:tcW w:type="dxa" w:w="439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2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{↑ → ↓}</w:t>
            </w:r>
          </w:p>
        </w:tc>
        <w:tc>
          <w:tcPr>
            <w:tcW w:type="dxa" w:w="146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  <w:tr>
        <w:tc>
          <w:tcPr>
            <w:tcW w:type="dxa" w:w="837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{R3}</w:t>
            </w:r>
          </w:p>
        </w:tc>
        <w:tc>
          <w:tcPr>
            <w:tcW w:type="dxa" w:w="439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2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{↑ → ↓}</w:t>
            </w:r>
          </w:p>
        </w:tc>
        <w:tc>
          <w:tcPr>
            <w:tcW w:type="dxa" w:w="146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  <w:tr>
        <w:tc>
          <w:tcPr>
            <w:tcW w:type="dxa" w:w="837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{R4}</w:t>
            </w:r>
          </w:p>
        </w:tc>
        <w:tc>
          <w:tcPr>
            <w:tcW w:type="dxa" w:w="439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25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{↑ → ↓}</w:t>
            </w:r>
          </w:p>
        </w:tc>
        <w:tc>
          <w:tcPr>
            <w:tcW w:type="dxa" w:w="1465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25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</w:tbl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5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COMMERCIAL: VARIATIONS / COMPENSATION EVENTS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86"/>
        <w:gridCol w:w="2093"/>
        <w:gridCol w:w="2093"/>
        <w:gridCol w:w="2094"/>
      </w:tblGrid>
      <w:tr>
        <w:tc>
          <w:tcPr>
            <w:tcW w:type="dxa" w:w="4186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Item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Submitted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Approved</w:t>
            </w:r>
          </w:p>
        </w:tc>
        <w:tc>
          <w:tcPr>
            <w:tcW w:type="dxa" w:w="209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Forecast value</w:t>
            </w:r>
          </w:p>
        </w:tc>
      </w:tr>
      <w:tr>
        <w:tc>
          <w:tcPr>
            <w:tcW w:type="dxa" w:w="4186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{Variations / CEs this period}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{n / $}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{n / $}</w:t>
            </w:r>
          </w:p>
        </w:tc>
        <w:tc>
          <w:tcPr>
            <w:tcW w:type="dxa" w:w="209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{$}</w:t>
            </w:r>
          </w:p>
        </w:tc>
      </w:tr>
      <w:tr>
        <w:tc>
          <w:tcPr>
            <w:tcW w:type="dxa" w:w="4186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{Cumulative}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{n / $}</w:t>
            </w:r>
          </w:p>
        </w:tc>
        <w:tc>
          <w:tcPr>
            <w:tcW w:type="dxa" w:w="209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{n / $}</w:t>
            </w:r>
          </w:p>
        </w:tc>
        <w:tc>
          <w:tcPr>
            <w:tcW w:type="dxa" w:w="209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{$}</w:t>
            </w:r>
          </w:p>
        </w:tc>
      </w:tr>
    </w:tbl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6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NEXT PERIOD LOOK-AHEAD</w:t>
      </w:r>
    </w:p>
    <w:p>
      <w:pPr>
        <w:spacing w:after="40" w:before="40"/>
      </w:pPr>
      <w:r>
        <w:rPr>
          <w:rFonts w:ascii="Calibri" w:cs="Calibri" w:eastAsia="Calibri" w:hAnsi="Calibri"/>
          <w:b w:val="false"/>
          <w:bCs w:val="false"/>
          <w:i/>
          <w:iCs/>
          <w:color w:val="5A6B7F"/>
          <w:sz w:val="19"/>
          <w:szCs w:val="19"/>
        </w:rPr>
        <w:t xml:space="preserve">{Three to five key activities or milestones due next period, one line each.}</w:t>
      </w:r>
    </w:p>
    <w:p>
      <w:pPr>
        <w:pBdr>
          <w:bottom w:val="single" w:color="1F3554" w:sz="8"/>
        </w:pBdr>
        <w:spacing w:after="80" w:before="220"/>
      </w:pPr>
      <w:r>
        <w:rPr>
          <w:rFonts w:ascii="Calibri" w:cs="Calibri" w:eastAsia="Calibri" w:hAnsi="Calibri"/>
          <w:b/>
          <w:bCs/>
          <w:color w:val="5A6B7F"/>
          <w:sz w:val="21"/>
          <w:szCs w:val="21"/>
        </w:rPr>
        <w:t xml:space="preserve">7  </w:t>
      </w:r>
      <w:r>
        <w:rPr>
          <w:rFonts w:ascii="Calibri" w:cs="Calibri" w:eastAsia="Calibri" w:hAnsi="Calibri"/>
          <w:b/>
          <w:bCs/>
          <w:color w:val="1F3554"/>
          <w:sz w:val="21"/>
          <w:szCs w:val="21"/>
        </w:rPr>
        <w:t xml:space="preserve">DECISIONS REQUIRED FROM THE DIRECTOR</w:t>
      </w:r>
    </w:p>
    <w:p>
      <w:pPr>
        <w:spacing w:after="60" w:before="40"/>
      </w:pPr>
      <w:r>
        <w:rPr>
          <w:rFonts w:ascii="Calibri" w:cs="Calibri" w:eastAsia="Calibri" w:hAnsi="Calibri"/>
          <w:b w:val="false"/>
          <w:bCs w:val="false"/>
          <w:i/>
          <w:iCs/>
          <w:color w:val="5A6B7F"/>
          <w:sz w:val="17"/>
          <w:szCs w:val="17"/>
        </w:rPr>
        <w:t xml:space="preserve">The section most reports are missing. If nothing is required, say so explicitly — "No decisions required this period."</w:t>
      </w:r>
    </w:p>
    <w:tbl>
      <w:tblPr>
        <w:tblW w:type="dxa" w:w="104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4"/>
        <w:gridCol w:w="1883"/>
        <w:gridCol w:w="3769"/>
      </w:tblGrid>
      <w:tr>
        <w:tc>
          <w:tcPr>
            <w:tcW w:type="dxa" w:w="48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Decision required</w:t>
            </w:r>
          </w:p>
        </w:tc>
        <w:tc>
          <w:tcPr>
            <w:tcW w:type="dxa" w:w="188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Needed by</w:t>
            </w:r>
          </w:p>
        </w:tc>
        <w:tc>
          <w:tcPr>
            <w:tcW w:type="dxa" w:w="3769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shd w:fill="1F3554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Impact if delayed</w:t>
            </w:r>
          </w:p>
        </w:tc>
      </w:tr>
      <w:tr>
        <w:tc>
          <w:tcPr>
            <w:tcW w:type="dxa" w:w="48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88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{date}</w:t>
            </w:r>
          </w:p>
        </w:tc>
        <w:tc>
          <w:tcPr>
            <w:tcW w:type="dxa" w:w="3769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  <w:tr>
        <w:tc>
          <w:tcPr>
            <w:tcW w:type="dxa" w:w="48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88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{date}</w:t>
            </w:r>
          </w:p>
        </w:tc>
        <w:tc>
          <w:tcPr>
            <w:tcW w:type="dxa" w:w="3769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  <w:tr>
        <w:tc>
          <w:tcPr>
            <w:tcW w:type="dxa" w:w="4814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  <w:tc>
          <w:tcPr>
            <w:tcW w:type="dxa" w:w="1883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{date}</w:t>
            </w:r>
          </w:p>
        </w:tc>
        <w:tc>
          <w:tcPr>
            <w:tcW w:type="dxa" w:w="3769"/>
            <w:tcBorders>
              <w:top w:val="single" w:color="D7DFE8" w:sz="4"/>
              <w:left w:val="single" w:color="D7DFE8" w:sz="4"/>
              <w:bottom w:val="single" w:color="D7DFE8" w:sz="4"/>
              <w:right w:val="single" w:color="D7DF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20" w:before="2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{…}</w:t>
            </w:r>
          </w:p>
        </w:tc>
      </w:tr>
    </w:tbl>
    <w:p>
      <w:r>
        <w:br w:type="page"/>
      </w:r>
    </w:p>
    <w:p>
      <w:pPr>
        <w:pBdr>
          <w:bottom w:val="single" w:color="1F3554" w:sz="16"/>
        </w:pBdr>
        <w:spacing w:after="120" w:before="0"/>
      </w:pPr>
      <w:r>
        <w:rPr>
          <w:rFonts w:ascii="Calibri" w:cs="Calibri" w:eastAsia="Calibri" w:hAnsi="Calibri"/>
          <w:b/>
          <w:bCs/>
          <w:color w:val="1F3554"/>
          <w:sz w:val="28"/>
          <w:szCs w:val="28"/>
        </w:rPr>
        <w:t xml:space="preserve">HOW TO USE THIS TEMPLATE</w:t>
      </w:r>
    </w:p>
    <w:p>
      <w:pPr>
        <w:spacing w:after="120" w:before="4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The rule: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one page, three questions. Are we on money? Are we on time? What do you need from me? Everything on page 1 exists to answer those. If a section does not change a director’s view or require their action, cut it.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554"/>
          <w:sz w:val="21"/>
          <w:szCs w:val="21"/>
        </w:rPr>
        <w:t xml:space="preserve">Filling it in each period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Position at a glance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Traffic light on the worst of cost/schedule/commercial. Suggested thresholds: Green CPI &amp; SPI ≥ 0.98; Amber 0.95–0.98; Red &lt; 0.95. Set your own, then never argue with them mid-project.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Earned value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EV = budgeted cost of work actually performed. Default EAC = BAC ÷ CPI. If you cannot produce EV yet, report AC vs PV and say so — an honest proxy beats a confident blank.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Critical path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Name the driving path in words ("completion is driven by switchroom delivery"), not activity IDs. Always state whether it changed since last period.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Risks &amp; early warnings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Top 4–5 only, with trend arrows. On NEC contracts, mirror the Early Warning Register refs so the brief and the contract records reconcile.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b/>
          <w:bCs/>
          <w:i w:val="false"/>
          <w:iCs w:val="false"/>
          <w:color w:val="333333"/>
          <w:sz w:val="19"/>
          <w:szCs w:val="19"/>
        </w:rPr>
        <w:t xml:space="preserve">Decisions required —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Date every item and state the cost of delay. This is the section that trains directors to read the brief.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F3554"/>
          <w:sz w:val="21"/>
          <w:szCs w:val="21"/>
        </w:rPr>
        <w:t xml:space="preserve">Discipline beats design</w:t>
      </w:r>
    </w:p>
    <w:p>
      <w:pPr>
        <w:spacing w:after="40" w:before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Issue it the same day each period, from the same data pipeline, against the same baseline. A mediocre brief issued reliably outperforms a beautiful one issued when someone finds time. Most of the effort is not the writing — it is assembling EV, critical path and forecasts from the schedule and cost data every single period.</w:t>
      </w:r>
    </w:p>
    <w:p>
      <w:pPr>
        <w:spacing w:after="40" w:before="1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That assembly step is what Aegis Command automates: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333333"/>
          <w:sz w:val="19"/>
          <w:szCs w:val="19"/>
        </w:rPr>
        <w:t xml:space="preserve">connect the P6 / MPP / Excel programme you already maintain and this brief generates itself — EVM, critical path, P50/P80 forecasts and all. One project is free forever, unlimited size, no card: </w:t>
      </w:r>
      <w:r>
        <w:rPr>
          <w:rFonts w:ascii="Calibri" w:cs="Calibri" w:eastAsia="Calibri" w:hAnsi="Calibri"/>
          <w:b/>
          <w:bCs/>
          <w:i w:val="false"/>
          <w:iCs w:val="false"/>
          <w:color w:val="1F3554"/>
          <w:sz w:val="19"/>
          <w:szCs w:val="19"/>
        </w:rPr>
        <w:t xml:space="preserve">aegispm.com.au</w:t>
      </w:r>
    </w:p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B7F"/>
        <w:sz w:val="14"/>
        <w:szCs w:val="14"/>
      </w:rPr>
      <w:t xml:space="preserve">Free template by Aegis Command · project reporting &amp; earned value from your schedule data · aegispm.com.au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2026-08-26T02:11:53.531Z</dcterms:created>
  <dcterms:modified xsi:type="dcterms:W3CDTF">2026-08-26T02:11:53.550Z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